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F233BE" w:rsidRPr="00F233BE" w:rsidRDefault="00F233BE" w:rsidP="00F233BE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7078383"/>
      <w:r w:rsidRPr="00F233BE">
        <w:rPr>
          <w:rFonts w:ascii="Arial" w:hAnsi="Arial" w:cs="Arial"/>
          <w:b/>
          <w:bCs/>
          <w:sz w:val="20"/>
          <w:szCs w:val="20"/>
        </w:rPr>
        <w:t>PG 96161/2022</w:t>
      </w:r>
    </w:p>
    <w:bookmarkEnd w:id="0"/>
    <w:p w:rsidR="00AC0274" w:rsidRPr="00AC0274" w:rsidRDefault="00AC0274" w:rsidP="00AC02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C0274">
        <w:rPr>
          <w:rFonts w:ascii="Arial" w:hAnsi="Arial" w:cs="Arial"/>
          <w:b/>
          <w:bCs/>
          <w:sz w:val="20"/>
          <w:szCs w:val="20"/>
        </w:rPr>
        <w:t>PROCEDURA NEGOZIATA</w:t>
      </w:r>
      <w:r w:rsidRPr="00AC0274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</w:t>
      </w:r>
      <w:proofErr w:type="gramStart"/>
      <w:r w:rsidRPr="00AC0274">
        <w:rPr>
          <w:rFonts w:ascii="Arial" w:hAnsi="Arial" w:cs="Arial"/>
          <w:b/>
          <w:sz w:val="20"/>
          <w:szCs w:val="20"/>
        </w:rPr>
        <w:t>SS.MM.II.</w:t>
      </w:r>
      <w:r w:rsidRPr="00AC0274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AC0274">
        <w:rPr>
          <w:rFonts w:ascii="Arial" w:hAnsi="Arial" w:cs="Arial"/>
          <w:b/>
          <w:bCs/>
          <w:sz w:val="20"/>
          <w:szCs w:val="20"/>
        </w:rPr>
        <w:t xml:space="preserve"> SVOLTA IN MODALITA' TELEMATICA MEDIANTE UTILIZZO PIATTAFORMA SINTEL DI ARIA SPA PER AFFIDAMENTO DEL CONTRATTO PUBBLICO NEXT GENERATION EU “PIANO NAZIONALE DI RIPRESA E RESILIENZA” (PNRR) - MISSIONE M5 - COMPONENTE C2 - INVESTIMENTO 2.3 –PINQUA ID 28 - INT. 486 ACQUISIZIONE E RIQUALIFICAZIONE ENERGETICA DI N.5 PALAZZINE IN VIA GIORGIO GABER – CIG 9480053338 - CUP I68I21000460004  </w:t>
      </w: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bookmarkStart w:id="1" w:name="_GoBack"/>
      <w:bookmarkEnd w:id="1"/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6125B6"/>
    <w:rsid w:val="008C2491"/>
    <w:rsid w:val="00A2528F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8</cp:revision>
  <dcterms:created xsi:type="dcterms:W3CDTF">2022-10-10T13:56:00Z</dcterms:created>
  <dcterms:modified xsi:type="dcterms:W3CDTF">2022-11-17T07:13:00Z</dcterms:modified>
</cp:coreProperties>
</file>