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0E2EA8" w:rsidRDefault="002E0B89">
      <w:pPr>
        <w:pStyle w:val="Standard"/>
        <w:spacing w:line="360" w:lineRule="exact"/>
        <w:jc w:val="center"/>
        <w:rPr>
          <w:b/>
          <w:sz w:val="22"/>
          <w:szCs w:val="22"/>
          <w:u w:val="single"/>
        </w:rPr>
      </w:pPr>
      <w:r w:rsidRPr="000E2EA8">
        <w:rPr>
          <w:b/>
          <w:sz w:val="22"/>
          <w:szCs w:val="22"/>
          <w:u w:val="single"/>
        </w:rPr>
        <w:t>ALLEGATO A – MANIFESTAZIONE DI INTERESSE</w:t>
      </w:r>
    </w:p>
    <w:p w14:paraId="7314ECFF" w14:textId="77777777" w:rsidR="00CE15CC" w:rsidRPr="000E2EA8" w:rsidRDefault="00CE15CC">
      <w:pPr>
        <w:pStyle w:val="Standard"/>
        <w:autoSpaceDE w:val="0"/>
        <w:spacing w:line="360" w:lineRule="exact"/>
        <w:jc w:val="both"/>
        <w:rPr>
          <w:sz w:val="22"/>
          <w:szCs w:val="22"/>
          <w:shd w:val="clear" w:color="auto" w:fill="FF0000"/>
        </w:rPr>
      </w:pPr>
    </w:p>
    <w:p w14:paraId="04D4DDB7" w14:textId="77777777" w:rsidR="00CE15CC" w:rsidRPr="000E2EA8" w:rsidRDefault="002E0B89" w:rsidP="006244E7">
      <w:pPr>
        <w:pStyle w:val="Standard"/>
        <w:tabs>
          <w:tab w:val="left" w:pos="-720"/>
        </w:tabs>
        <w:jc w:val="both"/>
        <w:rPr>
          <w:sz w:val="22"/>
          <w:szCs w:val="22"/>
        </w:rPr>
      </w:pPr>
      <w:r w:rsidRPr="000E2EA8">
        <w:rPr>
          <w:bCs/>
          <w:i/>
          <w:iCs/>
          <w:sz w:val="22"/>
          <w:szCs w:val="22"/>
        </w:rPr>
        <w:t xml:space="preserve">Nel caso </w:t>
      </w:r>
      <w:r w:rsidR="00CE4D1B" w:rsidRPr="000E2EA8">
        <w:rPr>
          <w:bCs/>
          <w:i/>
          <w:iCs/>
          <w:sz w:val="22"/>
          <w:szCs w:val="22"/>
        </w:rPr>
        <w:t>di partecipazione in raggruppamento temporaneo di imprese, consorzio ordinario di concorrenti, aggregazione fra imprese aderenti al contratto di rete o GEIE</w:t>
      </w:r>
      <w:r w:rsidR="00CE4D1B" w:rsidRPr="000E2EA8">
        <w:rPr>
          <w:b/>
          <w:bCs/>
          <w:i/>
          <w:iCs/>
          <w:sz w:val="22"/>
          <w:szCs w:val="22"/>
        </w:rPr>
        <w:t>, il presente modello allegato A) deve essere prodotto da ciascun soggetto facente parte del raggruppamento, del consorzio, dell'aggregazione o GEIE</w:t>
      </w:r>
      <w:r w:rsidR="00CE4D1B" w:rsidRPr="000E2EA8">
        <w:rPr>
          <w:bCs/>
          <w:i/>
          <w:iCs/>
          <w:sz w:val="22"/>
          <w:szCs w:val="22"/>
        </w:rPr>
        <w:t xml:space="preserve"> e tali modelli dovranno essere inoltrati unitariamente tramite la piattaforma </w:t>
      </w:r>
      <w:proofErr w:type="spellStart"/>
      <w:r w:rsidR="006244E7" w:rsidRPr="000E2EA8">
        <w:rPr>
          <w:bCs/>
          <w:i/>
          <w:iCs/>
          <w:sz w:val="22"/>
          <w:szCs w:val="22"/>
        </w:rPr>
        <w:t>Sintel</w:t>
      </w:r>
      <w:proofErr w:type="spellEnd"/>
      <w:r w:rsidR="006244E7" w:rsidRPr="000E2EA8">
        <w:rPr>
          <w:bCs/>
          <w:i/>
          <w:iCs/>
          <w:sz w:val="22"/>
          <w:szCs w:val="22"/>
        </w:rPr>
        <w:t xml:space="preserve"> al Comune di Mantova </w:t>
      </w:r>
    </w:p>
    <w:p w14:paraId="32B2DFE0" w14:textId="77777777" w:rsidR="009B1A13" w:rsidRPr="006244E7" w:rsidRDefault="009B1A13" w:rsidP="009B1A13">
      <w:pPr>
        <w:ind w:left="4248" w:firstLine="708"/>
        <w:rPr>
          <w:rFonts w:cs="Times New Roman"/>
          <w:b/>
          <w:bCs/>
        </w:rPr>
      </w:pPr>
      <w:r w:rsidRPr="006244E7">
        <w:rPr>
          <w:rFonts w:cs="Times New Roman"/>
          <w:b/>
          <w:bCs/>
        </w:rPr>
        <w:t>Spett.le</w:t>
      </w:r>
    </w:p>
    <w:p w14:paraId="134369B9" w14:textId="77777777" w:rsidR="009B1A13" w:rsidRPr="006244E7" w:rsidRDefault="009B1A13" w:rsidP="009B1A13">
      <w:pPr>
        <w:ind w:left="4248" w:firstLine="708"/>
        <w:rPr>
          <w:rFonts w:cs="Times New Roman"/>
          <w:b/>
          <w:bCs/>
        </w:rPr>
      </w:pPr>
      <w:r w:rsidRPr="006244E7">
        <w:rPr>
          <w:rFonts w:cs="Times New Roman"/>
          <w:b/>
          <w:bCs/>
        </w:rPr>
        <w:t>COMUNE DI MANTOVA</w:t>
      </w:r>
    </w:p>
    <w:p w14:paraId="1C3B8D6A" w14:textId="77777777" w:rsidR="009B1A13" w:rsidRPr="006244E7" w:rsidRDefault="009B1A13" w:rsidP="009B1A13">
      <w:pPr>
        <w:ind w:left="4248" w:firstLine="708"/>
        <w:rPr>
          <w:rFonts w:cs="Times New Roman"/>
          <w:b/>
          <w:bCs/>
        </w:rPr>
      </w:pPr>
      <w:r w:rsidRPr="006244E7">
        <w:rPr>
          <w:rFonts w:cs="Times New Roman"/>
          <w:b/>
          <w:bCs/>
        </w:rPr>
        <w:t xml:space="preserve">Settore </w:t>
      </w:r>
      <w:r>
        <w:rPr>
          <w:rFonts w:cs="Times New Roman"/>
          <w:b/>
          <w:bCs/>
        </w:rPr>
        <w:t>Welfare Servizi Sociali e Sport</w:t>
      </w:r>
    </w:p>
    <w:p w14:paraId="33ACDF9E" w14:textId="77777777" w:rsidR="009B1A13" w:rsidRPr="006244E7" w:rsidRDefault="009B1A13" w:rsidP="009B1A13">
      <w:pPr>
        <w:ind w:left="4248" w:firstLine="708"/>
        <w:rPr>
          <w:rFonts w:cs="Times New Roman"/>
          <w:b/>
          <w:bCs/>
        </w:rPr>
      </w:pPr>
      <w:r w:rsidRPr="006244E7">
        <w:rPr>
          <w:rFonts w:cs="Times New Roman"/>
          <w:b/>
          <w:bCs/>
        </w:rPr>
        <w:t xml:space="preserve">Via </w:t>
      </w:r>
      <w:r>
        <w:rPr>
          <w:rFonts w:cs="Times New Roman"/>
          <w:b/>
          <w:bCs/>
        </w:rPr>
        <w:t>Conciliazione</w:t>
      </w:r>
      <w:r w:rsidRPr="006244E7">
        <w:rPr>
          <w:rFonts w:cs="Times New Roman"/>
          <w:b/>
          <w:bCs/>
        </w:rPr>
        <w:t>,</w:t>
      </w:r>
      <w:r>
        <w:rPr>
          <w:rFonts w:cs="Times New Roman"/>
          <w:b/>
          <w:bCs/>
        </w:rPr>
        <w:t xml:space="preserve"> 128</w:t>
      </w:r>
    </w:p>
    <w:p w14:paraId="0A0B8E83" w14:textId="77777777" w:rsidR="009B1A13" w:rsidRPr="006244E7" w:rsidRDefault="009B1A13" w:rsidP="009B1A13">
      <w:pPr>
        <w:ind w:left="4248" w:firstLine="708"/>
        <w:rPr>
          <w:rFonts w:cs="Times New Roman"/>
        </w:rPr>
      </w:pPr>
      <w:r w:rsidRPr="006244E7">
        <w:rPr>
          <w:rFonts w:cs="Times New Roman"/>
          <w:b/>
          <w:bCs/>
        </w:rPr>
        <w:t>46100 Mantova</w:t>
      </w:r>
    </w:p>
    <w:p w14:paraId="7866F075" w14:textId="77777777" w:rsidR="009B1A13" w:rsidRPr="006244E7" w:rsidRDefault="009B1A13" w:rsidP="009B1A13">
      <w:pPr>
        <w:pStyle w:val="Standard"/>
        <w:widowControl w:val="0"/>
        <w:spacing w:line="360" w:lineRule="exact"/>
        <w:rPr>
          <w:sz w:val="24"/>
          <w:szCs w:val="24"/>
        </w:rPr>
      </w:pPr>
    </w:p>
    <w:p w14:paraId="5C4D2719" w14:textId="77777777" w:rsidR="009B1A13" w:rsidRPr="007422EB" w:rsidRDefault="009B1A13" w:rsidP="009B1A13">
      <w:pPr>
        <w:rPr>
          <w:b/>
          <w:bCs/>
        </w:rPr>
      </w:pPr>
      <w:bookmarkStart w:id="1" w:name="_Hlk117077300"/>
      <w:bookmarkStart w:id="2" w:name="AttoOggetto"/>
      <w:r w:rsidRPr="00DF4189">
        <w:rPr>
          <w:rFonts w:eastAsia="Times New Roman" w:cs="Arial"/>
          <w:b/>
          <w:bCs/>
          <w:szCs w:val="20"/>
        </w:rPr>
        <w:t>PG n. 45186</w:t>
      </w:r>
      <w:r w:rsidRPr="00DF4189">
        <w:rPr>
          <w:b/>
          <w:bCs/>
        </w:rPr>
        <w:t>/2023</w:t>
      </w:r>
    </w:p>
    <w:p w14:paraId="16E1C832" w14:textId="77777777" w:rsidR="009B1A13" w:rsidRPr="005B32F4" w:rsidRDefault="009B1A13" w:rsidP="009B1A13">
      <w:pPr>
        <w:autoSpaceDE w:val="0"/>
        <w:adjustRightInd w:val="0"/>
        <w:jc w:val="both"/>
        <w:rPr>
          <w:rFonts w:cs="Arial"/>
          <w:b/>
          <w:caps/>
          <w:szCs w:val="20"/>
          <w:u w:val="single"/>
        </w:rPr>
      </w:pPr>
      <w:bookmarkStart w:id="3" w:name="_Hlk129267099"/>
      <w:r w:rsidRPr="005B32F4">
        <w:rPr>
          <w:rFonts w:cs="Arial"/>
          <w:b/>
          <w:caps/>
          <w:szCs w:val="20"/>
        </w:rPr>
        <w:t xml:space="preserve">PNRR - Missione 5 “Inclusione e coesione”, Componente 2 "Infrastrutture sociali, famiglie, comunità e terzo settore”, Sottocomponente 1 “Servizi sociali, disabilità e marginalità sociale”, Investimento 1.3 “Housing first e stazioni di posta”, Sub-investimento 1.3.1 “Housing first” </w:t>
      </w:r>
      <w:r w:rsidRPr="005B32F4">
        <w:rPr>
          <w:rFonts w:eastAsia="Times New Roman" w:cs="Arial"/>
          <w:b/>
          <w:caps/>
          <w:szCs w:val="20"/>
        </w:rPr>
        <w:t xml:space="preserve">– CUP </w:t>
      </w:r>
      <w:r w:rsidRPr="005B32F4">
        <w:rPr>
          <w:b/>
          <w:caps/>
          <w:szCs w:val="20"/>
        </w:rPr>
        <w:t>I64H22000140006</w:t>
      </w:r>
    </w:p>
    <w:bookmarkEnd w:id="3"/>
    <w:p w14:paraId="7C5914A5" w14:textId="77777777" w:rsidR="002517F0" w:rsidRPr="000E2EA8" w:rsidRDefault="002517F0" w:rsidP="002517F0">
      <w:pPr>
        <w:autoSpaceDE w:val="0"/>
        <w:adjustRightInd w:val="0"/>
        <w:jc w:val="both"/>
        <w:rPr>
          <w:rFonts w:cs="Times New Roman"/>
          <w:b/>
          <w:bCs/>
          <w:sz w:val="22"/>
          <w:szCs w:val="22"/>
        </w:rPr>
      </w:pPr>
    </w:p>
    <w:p w14:paraId="089C7F92" w14:textId="15230A91" w:rsidR="002517F0" w:rsidRDefault="002517F0" w:rsidP="002517F0">
      <w:pPr>
        <w:autoSpaceDE w:val="0"/>
        <w:adjustRightInd w:val="0"/>
        <w:jc w:val="both"/>
        <w:rPr>
          <w:rFonts w:ascii="Arial" w:hAnsi="Arial" w:cs="Arial"/>
          <w:b/>
          <w:bCs/>
          <w:sz w:val="20"/>
          <w:szCs w:val="20"/>
        </w:rPr>
      </w:pPr>
      <w:r w:rsidRPr="000E2EA8">
        <w:rPr>
          <w:rFonts w:cs="Times New Roman"/>
          <w:b/>
          <w:bCs/>
          <w:sz w:val="22"/>
          <w:szCs w:val="22"/>
        </w:rPr>
        <w:t>INDAGINE DI MERCATO AI FINI DELLA SELEZIONE DI OPERATORI ECONOMICI DA INVITARE ALLA PROCEDURA NEGOZIATA</w:t>
      </w:r>
      <w:r w:rsidRPr="000E2EA8">
        <w:rPr>
          <w:rFonts w:cs="Times New Roman"/>
          <w:b/>
          <w:sz w:val="22"/>
          <w:szCs w:val="22"/>
        </w:rPr>
        <w:t xml:space="preserve"> EX ART. 1 COMMA 2 LETTERA B) DEL DL 76/2020, CONVERTITO CON LEGGE 120/2020 E SS.MM.II.</w:t>
      </w:r>
      <w:r w:rsidRPr="000E2EA8">
        <w:rPr>
          <w:rFonts w:cs="Times New Roman"/>
          <w:b/>
          <w:bCs/>
          <w:sz w:val="22"/>
          <w:szCs w:val="22"/>
        </w:rPr>
        <w:t>, SVOLTA IN MODALITA' TELEMATICA MEDIANTE UTILIZZO PIATTAFORMA SINTEL DI ARIA SPA</w:t>
      </w:r>
      <w:r>
        <w:rPr>
          <w:rFonts w:ascii="Arial" w:hAnsi="Arial" w:cs="Arial"/>
          <w:b/>
          <w:bCs/>
          <w:sz w:val="20"/>
          <w:szCs w:val="20"/>
        </w:rPr>
        <w:t>.</w:t>
      </w:r>
    </w:p>
    <w:p w14:paraId="17D619C1" w14:textId="34BAC13E" w:rsidR="003122C4" w:rsidRDefault="003122C4" w:rsidP="003122C4">
      <w:pPr>
        <w:autoSpaceDE w:val="0"/>
        <w:adjustRightInd w:val="0"/>
        <w:jc w:val="both"/>
        <w:rPr>
          <w:rFonts w:ascii="Arial" w:hAnsi="Arial" w:cs="Arial"/>
          <w:b/>
          <w:bCs/>
          <w:sz w:val="20"/>
          <w:szCs w:val="20"/>
          <w:lang w:eastAsia="it-IT"/>
        </w:rPr>
      </w:pPr>
    </w:p>
    <w:bookmarkEnd w:id="1"/>
    <w:bookmarkEnd w:id="2"/>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proofErr w:type="spellStart"/>
            <w:r>
              <w:rPr>
                <w:sz w:val="24"/>
                <w:szCs w:val="24"/>
              </w:rPr>
              <w:t>c.a.p.</w:t>
            </w:r>
            <w:proofErr w:type="spell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w:t>
      </w:r>
      <w:proofErr w:type="spellStart"/>
      <w:r>
        <w:rPr>
          <w:szCs w:val="24"/>
        </w:rPr>
        <w:t>tel</w:t>
      </w:r>
      <w:proofErr w:type="spellEnd"/>
      <w:r>
        <w:rPr>
          <w:szCs w:val="24"/>
        </w:rPr>
        <w:t xml:space="preserve">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lastRenderedPageBreak/>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proofErr w:type="spellStart"/>
      <w:r>
        <w:rPr>
          <w:spacing w:val="-3"/>
          <w:sz w:val="24"/>
          <w:szCs w:val="24"/>
        </w:rPr>
        <w:t>D.Lgs.</w:t>
      </w:r>
      <w:proofErr w:type="spellEnd"/>
      <w:r>
        <w:rPr>
          <w:spacing w:val="-3"/>
          <w:sz w:val="24"/>
          <w:szCs w:val="24"/>
        </w:rPr>
        <w:t xml:space="preserve">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lastRenderedPageBreak/>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possedere </w:t>
      </w:r>
      <w:r>
        <w:rPr>
          <w:sz w:val="24"/>
          <w:szCs w:val="24"/>
        </w:rPr>
        <w:t xml:space="preserve"> i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-Non trovarsi in alcuna delle situazioni previste dall’art. 80 del D.lgs. n. 50/2016 e </w:t>
      </w:r>
      <w:proofErr w:type="spellStart"/>
      <w:r w:rsidRPr="006244E7">
        <w:rPr>
          <w:rFonts w:cs="Times New Roman"/>
        </w:rPr>
        <w:t>ss.mm.ii</w:t>
      </w:r>
      <w:proofErr w:type="spellEnd"/>
      <w:r w:rsidRPr="006244E7">
        <w:rPr>
          <w:rFonts w:cs="Times New Roman"/>
        </w:rPr>
        <w:t>.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5670736A"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w:t>
      </w:r>
      <w:proofErr w:type="spellStart"/>
      <w:r w:rsidRPr="00CE273A">
        <w:rPr>
          <w:rFonts w:eastAsia="Times New Roman" w:cs="Times New Roman"/>
          <w:color w:val="000000"/>
          <w:kern w:val="0"/>
          <w:lang w:eastAsia="it-IT" w:bidi="ar-SA"/>
        </w:rPr>
        <w:t>D.Lgs.</w:t>
      </w:r>
      <w:proofErr w:type="spellEnd"/>
      <w:r w:rsidRPr="00CE273A">
        <w:rPr>
          <w:rFonts w:eastAsia="Times New Roman" w:cs="Times New Roman"/>
          <w:color w:val="000000"/>
          <w:kern w:val="0"/>
          <w:lang w:eastAsia="it-IT" w:bidi="ar-SA"/>
        </w:rPr>
        <w:t xml:space="preserve"> 11 Aprile 2006 n. 198 e </w:t>
      </w:r>
      <w:proofErr w:type="spellStart"/>
      <w:r w:rsidRPr="00CE273A">
        <w:rPr>
          <w:rFonts w:eastAsia="Times New Roman" w:cs="Times New Roman"/>
          <w:color w:val="000000"/>
          <w:kern w:val="0"/>
          <w:lang w:eastAsia="it-IT" w:bidi="ar-SA"/>
        </w:rPr>
        <w:t>s.m.i.</w:t>
      </w:r>
      <w:proofErr w:type="spellEnd"/>
      <w:r w:rsidRPr="00CE273A">
        <w:rPr>
          <w:rFonts w:eastAsia="Times New Roman" w:cs="Times New Roman"/>
          <w:color w:val="000000"/>
          <w:kern w:val="0"/>
          <w:lang w:eastAsia="it-IT" w:bidi="ar-SA"/>
        </w:rPr>
        <w:t xml:space="preserve">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xml:space="preserve">, qualora risulti invitato a partecipare alla procedura negoziata per l affidamento dell’accordo quadro in oggetto,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r w:rsidRPr="006244E7">
        <w:rPr>
          <w:rFonts w:cs="Times New Roman"/>
        </w:rPr>
        <w:t>che l’Impresa/Società’ è iscritta al n…………………………del Registro delle Imprese presso la CCIAA di……………………………………………………….………..dal……………………………, con durata prevista fino al ………………… ed esercita la seguente attività:…………………………………………. ………………………………………………………………………………………………………………………………………………………………</w:t>
      </w:r>
      <w:r w:rsidRPr="006244E7">
        <w:rPr>
          <w:rFonts w:cs="Times New Roman"/>
        </w:rPr>
        <w:lastRenderedPageBreak/>
        <w:t>…………………………………………........................................</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t>(</w:t>
      </w:r>
      <w:r w:rsidRPr="006244E7">
        <w:rPr>
          <w:i/>
          <w:spacing w:val="0"/>
          <w:szCs w:val="24"/>
          <w:u w:val="single"/>
        </w:rPr>
        <w:t xml:space="preserve">nel caso si allega dichiarazione del legale rappresentante, resa in forma di autocertificazione ai sensi del DPR 445/2000, con la quale si  dichiara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r w:rsidRPr="002C2FEF">
        <w:rPr>
          <w:rFonts w:ascii="Times New Roman" w:hAnsi="Times New Roman" w:cs="Times New Roman"/>
          <w:i w:val="0"/>
          <w:sz w:val="24"/>
          <w:szCs w:val="24"/>
        </w:rPr>
        <w:t xml:space="preserve">di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sotto indicate e relative classifiche:</w:t>
      </w:r>
    </w:p>
    <w:p w14:paraId="1B01A5A2"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r w:rsidRPr="002C2FEF">
        <w:rPr>
          <w:sz w:val="24"/>
          <w:szCs w:val="24"/>
        </w:rPr>
        <w:t>scadenza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r w:rsidRPr="002C2FEF">
        <w:rPr>
          <w:sz w:val="24"/>
          <w:szCs w:val="24"/>
        </w:rPr>
        <w:t xml:space="preserve">scadenza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141981BD" w:rsidR="001E7EE9" w:rsidRPr="00CE273A" w:rsidRDefault="001E7EE9" w:rsidP="00CE273A">
      <w:pPr>
        <w:pStyle w:val="Textbody"/>
        <w:numPr>
          <w:ilvl w:val="0"/>
          <w:numId w:val="32"/>
        </w:numPr>
        <w:jc w:val="both"/>
      </w:pPr>
      <w:r w:rsidRPr="00CE273A">
        <w:rPr>
          <w:sz w:val="24"/>
          <w:szCs w:val="24"/>
          <w:lang w:eastAsia="it-IT"/>
        </w:rPr>
        <w:t>il requisito relativo al possesso dell</w:t>
      </w:r>
      <w:r w:rsidRPr="00CE273A">
        <w:rPr>
          <w:sz w:val="24"/>
          <w:szCs w:val="24"/>
        </w:rPr>
        <w:t>’attestato SOA nella categoria OG</w:t>
      </w:r>
      <w:r w:rsidR="002517F0">
        <w:rPr>
          <w:sz w:val="24"/>
          <w:szCs w:val="24"/>
        </w:rPr>
        <w:t>1</w:t>
      </w:r>
      <w:r w:rsidRPr="00CE273A">
        <w:rPr>
          <w:sz w:val="24"/>
          <w:szCs w:val="24"/>
        </w:rPr>
        <w:t xml:space="preserve">, classifica </w:t>
      </w:r>
      <w:r w:rsidR="003122C4">
        <w:rPr>
          <w:sz w:val="24"/>
          <w:szCs w:val="24"/>
        </w:rPr>
        <w:t>II</w:t>
      </w:r>
      <w:r w:rsidR="00170EC1" w:rsidRPr="00CE273A">
        <w:rPr>
          <w:sz w:val="24"/>
          <w:szCs w:val="24"/>
        </w:rPr>
        <w:t xml:space="preserve"> </w:t>
      </w:r>
      <w:r w:rsidRPr="00CE273A">
        <w:rPr>
          <w:sz w:val="24"/>
          <w:szCs w:val="24"/>
        </w:rPr>
        <w:t>è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r w:rsidRPr="00CE273A">
        <w:rPr>
          <w:sz w:val="24"/>
          <w:szCs w:val="24"/>
          <w:lang w:eastAsia="it-IT"/>
        </w:rPr>
        <w:t>in parte in proprio ed in parte tramite mandante/i nel rispetto delle disposizioni di cui all'art. 92, comma 2, del D.P.R. n. 207/2010;</w:t>
      </w:r>
    </w:p>
    <w:p w14:paraId="3E8D5383" w14:textId="6A206195" w:rsidR="003C1E27" w:rsidRPr="00CE273A" w:rsidRDefault="00CE273A" w:rsidP="005C0678">
      <w:pPr>
        <w:tabs>
          <w:tab w:val="left" w:pos="614"/>
        </w:tabs>
        <w:ind w:right="747"/>
        <w:jc w:val="both"/>
        <w:rPr>
          <w:rFonts w:cs="Times New Roman"/>
        </w:rPr>
      </w:pPr>
      <w:r w:rsidRPr="00CE273A">
        <w:rPr>
          <w:rFonts w:cs="Times New Roman"/>
          <w:b/>
        </w:rPr>
        <w:t>7</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w:t>
      </w:r>
      <w:proofErr w:type="spellStart"/>
      <w:r w:rsidR="003C1E27" w:rsidRPr="00CE273A">
        <w:rPr>
          <w:rFonts w:cs="Times New Roman"/>
        </w:rPr>
        <w:t>ss.mm.ii</w:t>
      </w:r>
      <w:proofErr w:type="spellEnd"/>
      <w:r w:rsidR="003C1E27" w:rsidRPr="00CE273A">
        <w:rPr>
          <w:rFonts w:cs="Times New Roman"/>
        </w:rPr>
        <w:t>.:</w:t>
      </w:r>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CORSO DI VALIDITÀ presso la Prefettura – Ufficio Territoriale del Governo di 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FASE DI RINNOVO presso la Prefettura – Ufficio Territoriale del Governo di 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r w:rsidRPr="00CE273A">
        <w:rPr>
          <w:rFonts w:cs="Times New Roman"/>
        </w:rPr>
        <w:t>di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2387BC86" w14:textId="03E364B7" w:rsidR="00ED4D24" w:rsidRPr="005F4B80" w:rsidRDefault="00CE273A" w:rsidP="00784654">
      <w:pPr>
        <w:tabs>
          <w:tab w:val="left" w:pos="614"/>
          <w:tab w:val="left" w:pos="709"/>
        </w:tabs>
        <w:ind w:right="747"/>
        <w:jc w:val="both"/>
        <w:rPr>
          <w:rFonts w:cs="Times New Roman"/>
          <w:color w:val="FF0000"/>
        </w:rPr>
      </w:pPr>
      <w:r>
        <w:rPr>
          <w:b/>
          <w:lang w:eastAsia="it-IT"/>
        </w:rPr>
        <w:t>8.</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7F51668D" w14:textId="48DE68AF" w:rsidR="009B1A13" w:rsidRDefault="00CE273A" w:rsidP="00B72FB8">
      <w:pPr>
        <w:autoSpaceDE w:val="0"/>
        <w:adjustRightInd w:val="0"/>
        <w:jc w:val="both"/>
        <w:rPr>
          <w:rFonts w:cs="Arial"/>
          <w:b/>
          <w:bCs/>
          <w:szCs w:val="20"/>
          <w:lang w:eastAsia="it-IT"/>
        </w:rPr>
      </w:pPr>
      <w:r w:rsidRPr="00CE273A">
        <w:rPr>
          <w:rFonts w:eastAsia="Microsoft YaHei" w:cs="Times New Roman"/>
          <w:b/>
          <w:bCs/>
          <w:iCs/>
          <w:lang w:eastAsia="it-IT"/>
        </w:rPr>
        <w:t>9.</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prescrizioni e obblighi previsti dal PNRR, e in particolare del principio DNSH nonché degli obblighi specifici per l’attuazione della proposta ammessa al </w:t>
      </w:r>
      <w:r w:rsidR="00226F55" w:rsidRPr="003C1E27">
        <w:rPr>
          <w:rFonts w:cs="Times New Roman"/>
        </w:rPr>
        <w:t>finanziamento</w:t>
      </w:r>
      <w:r w:rsidR="003122C4">
        <w:rPr>
          <w:rFonts w:cs="Arial"/>
          <w:b/>
          <w:bCs/>
          <w:szCs w:val="20"/>
          <w:lang w:eastAsia="it-IT"/>
        </w:rPr>
        <w:t>–</w:t>
      </w:r>
      <w:r w:rsidR="003122C4" w:rsidRPr="00BC1113">
        <w:rPr>
          <w:rFonts w:cs="Arial"/>
          <w:b/>
          <w:bCs/>
          <w:szCs w:val="20"/>
          <w:lang w:eastAsia="it-IT"/>
        </w:rPr>
        <w:t xml:space="preserve"> </w:t>
      </w:r>
      <w:r w:rsidR="009B1A13" w:rsidRPr="005B32F4">
        <w:rPr>
          <w:rFonts w:cs="Arial"/>
          <w:b/>
          <w:caps/>
          <w:szCs w:val="20"/>
        </w:rPr>
        <w:t xml:space="preserve">Missione 5 “Inclusione e coesione”, Componente 2 "Infrastrutture sociali, famiglie, comunità e terzo settore”, Sottocomponente 1 “Servizi sociali, disabilità e marginalità sociale”, Investimento 1.3 “Housing first e stazioni di posta”, Sub-investimento 1.3.1 “Housing first” </w:t>
      </w:r>
      <w:r w:rsidR="009B1A13" w:rsidRPr="005B32F4">
        <w:rPr>
          <w:rFonts w:eastAsia="Times New Roman" w:cs="Arial"/>
          <w:b/>
          <w:caps/>
          <w:szCs w:val="20"/>
        </w:rPr>
        <w:t xml:space="preserve">– </w:t>
      </w:r>
    </w:p>
    <w:p w14:paraId="2BB4A85A" w14:textId="6F67E1E1" w:rsidR="00B72FB8" w:rsidRPr="00CE273A" w:rsidRDefault="005F4B80" w:rsidP="00B72FB8">
      <w:pPr>
        <w:autoSpaceDE w:val="0"/>
        <w:adjustRightInd w:val="0"/>
        <w:jc w:val="both"/>
        <w:rPr>
          <w:rFonts w:cs="Times New Roman"/>
        </w:rPr>
      </w:pPr>
      <w:r w:rsidRPr="00784654">
        <w:rPr>
          <w:rFonts w:cs="Times New Roman"/>
          <w:b/>
          <w:bCs/>
        </w:rPr>
        <w:t>10</w:t>
      </w:r>
      <w:r w:rsidR="00784654">
        <w:rPr>
          <w:rFonts w:cs="Times New Roman"/>
        </w:rPr>
        <w:t>.</w:t>
      </w:r>
      <w:r w:rsidR="00170EC1">
        <w:rPr>
          <w:rFonts w:cs="Times New Roman"/>
        </w:rPr>
        <w:t xml:space="preserve"> </w:t>
      </w:r>
      <w:r w:rsidR="003559AE" w:rsidRPr="00CE273A">
        <w:rPr>
          <w:rFonts w:cs="Times New Roman"/>
        </w:rPr>
        <w:t xml:space="preserve">Ai sensi </w:t>
      </w:r>
      <w:r w:rsidR="003559AE" w:rsidRPr="00CE273A">
        <w:rPr>
          <w:rFonts w:cs="Times New Roman"/>
          <w:u w:val="single"/>
        </w:rPr>
        <w:t>dell’art. 47 comma 4</w:t>
      </w:r>
      <w:r w:rsidR="003559AE" w:rsidRPr="00CE273A">
        <w:rPr>
          <w:rFonts w:cs="Times New Roman"/>
        </w:rPr>
        <w:t xml:space="preserve">   </w:t>
      </w:r>
      <w:r w:rsidR="003559AE" w:rsidRPr="00CE273A">
        <w:rPr>
          <w:rFonts w:cs="Times New Roman"/>
          <w:color w:val="000000"/>
        </w:rPr>
        <w:t>del decreto-legge 31 maggio 2021, n. 77,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w:t>
      </w:r>
      <w:r w:rsidR="00B72FB8" w:rsidRPr="00CE273A">
        <w:rPr>
          <w:rFonts w:ascii="Times" w:hAnsi="Times" w:cs="Times"/>
          <w:color w:val="000000"/>
        </w:rPr>
        <w:lastRenderedPageBreak/>
        <w:t xml:space="preserve">assunzioni a destinare una quota almeno pari al </w:t>
      </w:r>
      <w:r>
        <w:rPr>
          <w:rFonts w:ascii="Times" w:hAnsi="Times" w:cs="Times"/>
          <w:color w:val="000000"/>
        </w:rPr>
        <w:t>30</w:t>
      </w:r>
      <w:r w:rsidR="00B72FB8" w:rsidRPr="00CE273A">
        <w:rPr>
          <w:rFonts w:ascii="Times" w:hAnsi="Times" w:cs="Times"/>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7777777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784654">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si riserva, a proprio insindacabile giudizio, di sospendere, modificare o annullare, totalmente o parzialmente, l’indagine di mercato, senza possibilità di avanzare pretese di alcun genere.</w:t>
      </w:r>
    </w:p>
    <w:p w14:paraId="780E2145" w14:textId="505299BC"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784654" w:rsidRPr="00784654">
        <w:rPr>
          <w:rFonts w:ascii="Times New Roman" w:hAnsi="Times New Roman" w:cs="Times New Roman"/>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horndale"/>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Arial">
    <w:altName w:val=" Helvetica"/>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altName w:val="Century Gothic"/>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28"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1"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6"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73435525">
    <w:abstractNumId w:val="24"/>
  </w:num>
  <w:num w:numId="2" w16cid:durableId="1136753696">
    <w:abstractNumId w:val="5"/>
  </w:num>
  <w:num w:numId="3" w16cid:durableId="162354851">
    <w:abstractNumId w:val="33"/>
  </w:num>
  <w:num w:numId="4" w16cid:durableId="1624919268">
    <w:abstractNumId w:val="14"/>
  </w:num>
  <w:num w:numId="5" w16cid:durableId="932666081">
    <w:abstractNumId w:val="35"/>
  </w:num>
  <w:num w:numId="6" w16cid:durableId="1079013417">
    <w:abstractNumId w:val="16"/>
  </w:num>
  <w:num w:numId="7" w16cid:durableId="225920888">
    <w:abstractNumId w:val="13"/>
  </w:num>
  <w:num w:numId="8" w16cid:durableId="831725907">
    <w:abstractNumId w:val="17"/>
  </w:num>
  <w:num w:numId="9" w16cid:durableId="536283706">
    <w:abstractNumId w:val="15"/>
  </w:num>
  <w:num w:numId="10" w16cid:durableId="1186871403">
    <w:abstractNumId w:val="7"/>
  </w:num>
  <w:num w:numId="11" w16cid:durableId="894196266">
    <w:abstractNumId w:val="36"/>
  </w:num>
  <w:num w:numId="12" w16cid:durableId="544416467">
    <w:abstractNumId w:val="29"/>
  </w:num>
  <w:num w:numId="13" w16cid:durableId="495073660">
    <w:abstractNumId w:val="4"/>
  </w:num>
  <w:num w:numId="14" w16cid:durableId="1091849982">
    <w:abstractNumId w:val="28"/>
  </w:num>
  <w:num w:numId="15" w16cid:durableId="2008363810">
    <w:abstractNumId w:val="34"/>
  </w:num>
  <w:num w:numId="16" w16cid:durableId="1358701410">
    <w:abstractNumId w:val="12"/>
  </w:num>
  <w:num w:numId="17" w16cid:durableId="1840997075">
    <w:abstractNumId w:val="22"/>
  </w:num>
  <w:num w:numId="18" w16cid:durableId="1158497705">
    <w:abstractNumId w:val="25"/>
  </w:num>
  <w:num w:numId="19" w16cid:durableId="1046222280">
    <w:abstractNumId w:val="26"/>
  </w:num>
  <w:num w:numId="20" w16cid:durableId="981236005">
    <w:abstractNumId w:val="21"/>
  </w:num>
  <w:num w:numId="21" w16cid:durableId="1265455538">
    <w:abstractNumId w:val="19"/>
  </w:num>
  <w:num w:numId="22" w16cid:durableId="1318925573">
    <w:abstractNumId w:val="18"/>
  </w:num>
  <w:num w:numId="23" w16cid:durableId="1036856309">
    <w:abstractNumId w:val="3"/>
  </w:num>
  <w:num w:numId="24" w16cid:durableId="1021009297">
    <w:abstractNumId w:val="35"/>
  </w:num>
  <w:num w:numId="25" w16cid:durableId="1588419132">
    <w:abstractNumId w:val="25"/>
  </w:num>
  <w:num w:numId="26" w16cid:durableId="2102949756">
    <w:abstractNumId w:val="15"/>
  </w:num>
  <w:num w:numId="27" w16cid:durableId="1725518449">
    <w:abstractNumId w:val="25"/>
  </w:num>
  <w:num w:numId="28" w16cid:durableId="1490555538">
    <w:abstractNumId w:val="0"/>
  </w:num>
  <w:num w:numId="29" w16cid:durableId="228811398">
    <w:abstractNumId w:val="30"/>
  </w:num>
  <w:num w:numId="30" w16cid:durableId="93399677">
    <w:abstractNumId w:val="10"/>
  </w:num>
  <w:num w:numId="31" w16cid:durableId="1970360545">
    <w:abstractNumId w:val="6"/>
  </w:num>
  <w:num w:numId="32" w16cid:durableId="1873225858">
    <w:abstractNumId w:val="8"/>
  </w:num>
  <w:num w:numId="33" w16cid:durableId="1903373338">
    <w:abstractNumId w:val="9"/>
  </w:num>
  <w:num w:numId="34" w16cid:durableId="1814566616">
    <w:abstractNumId w:val="2"/>
  </w:num>
  <w:num w:numId="35" w16cid:durableId="1918979601">
    <w:abstractNumId w:val="27"/>
  </w:num>
  <w:num w:numId="36" w16cid:durableId="2095935894">
    <w:abstractNumId w:val="31"/>
  </w:num>
  <w:num w:numId="37" w16cid:durableId="1171947108">
    <w:abstractNumId w:val="20"/>
  </w:num>
  <w:num w:numId="38" w16cid:durableId="1404832084">
    <w:abstractNumId w:val="32"/>
  </w:num>
  <w:num w:numId="39" w16cid:durableId="1511143332">
    <w:abstractNumId w:val="23"/>
  </w:num>
  <w:num w:numId="40" w16cid:durableId="1880778778">
    <w:abstractNumId w:val="11"/>
  </w:num>
  <w:num w:numId="41" w16cid:durableId="1411078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CC"/>
    <w:rsid w:val="0001460C"/>
    <w:rsid w:val="000268CC"/>
    <w:rsid w:val="000314DA"/>
    <w:rsid w:val="00052465"/>
    <w:rsid w:val="000A348F"/>
    <w:rsid w:val="000E208E"/>
    <w:rsid w:val="000E2EA8"/>
    <w:rsid w:val="00164E5A"/>
    <w:rsid w:val="00170EC1"/>
    <w:rsid w:val="001E7EE9"/>
    <w:rsid w:val="0020617E"/>
    <w:rsid w:val="00226F55"/>
    <w:rsid w:val="002517F0"/>
    <w:rsid w:val="002932EC"/>
    <w:rsid w:val="002B5AC0"/>
    <w:rsid w:val="002E0B89"/>
    <w:rsid w:val="003122C4"/>
    <w:rsid w:val="003559AE"/>
    <w:rsid w:val="00357CA8"/>
    <w:rsid w:val="003A6016"/>
    <w:rsid w:val="003C1E27"/>
    <w:rsid w:val="004B7C21"/>
    <w:rsid w:val="004E7913"/>
    <w:rsid w:val="00546B9C"/>
    <w:rsid w:val="00566444"/>
    <w:rsid w:val="005C0678"/>
    <w:rsid w:val="005F4B80"/>
    <w:rsid w:val="006244E7"/>
    <w:rsid w:val="0063064D"/>
    <w:rsid w:val="00653725"/>
    <w:rsid w:val="006C5C8B"/>
    <w:rsid w:val="00746ADA"/>
    <w:rsid w:val="007540F9"/>
    <w:rsid w:val="00754658"/>
    <w:rsid w:val="007821FB"/>
    <w:rsid w:val="00784654"/>
    <w:rsid w:val="00790FC4"/>
    <w:rsid w:val="00842E10"/>
    <w:rsid w:val="00856758"/>
    <w:rsid w:val="008739EC"/>
    <w:rsid w:val="008809A4"/>
    <w:rsid w:val="008B5E3A"/>
    <w:rsid w:val="00914A1F"/>
    <w:rsid w:val="009B1A13"/>
    <w:rsid w:val="009D76C9"/>
    <w:rsid w:val="00A640D1"/>
    <w:rsid w:val="00AA50EE"/>
    <w:rsid w:val="00B142E9"/>
    <w:rsid w:val="00B61408"/>
    <w:rsid w:val="00B72FB8"/>
    <w:rsid w:val="00BA3D09"/>
    <w:rsid w:val="00CE15CC"/>
    <w:rsid w:val="00CE273A"/>
    <w:rsid w:val="00CE29BA"/>
    <w:rsid w:val="00CE4D1B"/>
    <w:rsid w:val="00D22C39"/>
    <w:rsid w:val="00D46B3D"/>
    <w:rsid w:val="00D5429F"/>
    <w:rsid w:val="00D91B3C"/>
    <w:rsid w:val="00DD6DBB"/>
    <w:rsid w:val="00E13CA4"/>
    <w:rsid w:val="00E21B6E"/>
    <w:rsid w:val="00E46B26"/>
    <w:rsid w:val="00E547CF"/>
    <w:rsid w:val="00E55F1F"/>
    <w:rsid w:val="00EA0CDB"/>
    <w:rsid w:val="00EA7D43"/>
    <w:rsid w:val="00ED4D24"/>
    <w:rsid w:val="00F428A5"/>
    <w:rsid w:val="00F56A2C"/>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575EF-BFC2-45A9-BFB3-26597117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1842</Words>
  <Characters>10502</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Borghi Barbara</cp:lastModifiedBy>
  <cp:revision>18</cp:revision>
  <cp:lastPrinted>2022-09-29T10:23:00Z</cp:lastPrinted>
  <dcterms:created xsi:type="dcterms:W3CDTF">2022-10-07T07:29:00Z</dcterms:created>
  <dcterms:modified xsi:type="dcterms:W3CDTF">2023-05-05T08:51:00Z</dcterms:modified>
</cp:coreProperties>
</file>