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9414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2D19E2DB" wp14:editId="5520C925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65D16542" wp14:editId="2D26867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7F4AB886" w14:textId="77777777" w:rsidR="00F233BE" w:rsidRDefault="00F233BE"/>
    <w:p w14:paraId="59730AF4" w14:textId="77777777" w:rsidR="006A3CAF" w:rsidRDefault="006A3CAF" w:rsidP="006A3CA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33BE">
        <w:rPr>
          <w:rFonts w:ascii="Arial" w:hAnsi="Arial" w:cs="Arial"/>
          <w:b/>
          <w:bCs/>
          <w:sz w:val="20"/>
          <w:szCs w:val="20"/>
        </w:rPr>
        <w:t xml:space="preserve">PG </w:t>
      </w:r>
      <w:r>
        <w:rPr>
          <w:rFonts w:ascii="Arial" w:hAnsi="Arial" w:cs="Arial"/>
          <w:b/>
          <w:bCs/>
          <w:sz w:val="20"/>
          <w:szCs w:val="20"/>
        </w:rPr>
        <w:t>42353.45186/2023</w:t>
      </w:r>
    </w:p>
    <w:p w14:paraId="7095F738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443A1A00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4718FCAB" w14:textId="2B7C86D0" w:rsidR="00A91E49" w:rsidRDefault="00A91E49" w:rsidP="00A91E49">
      <w:pPr>
        <w:mirrorIndents/>
        <w:jc w:val="both"/>
        <w:rPr>
          <w:rFonts w:ascii="Arial" w:hAnsi="Arial" w:cs="Arial"/>
          <w:b/>
          <w:bCs/>
        </w:rPr>
      </w:pPr>
      <w:bookmarkStart w:id="0" w:name="_Hlk126047342"/>
      <w:r>
        <w:rPr>
          <w:rFonts w:ascii="Arial" w:hAnsi="Arial" w:cs="Arial"/>
          <w:b/>
          <w:bCs/>
        </w:rPr>
        <w:t>PNRR - MISSIONE 5 "INCLUSIONE E COESIONE",COMPONENTE 2 "INFRASTRUTTURE SOCIALI, FAMIGLIE, COMUNITÀ E TERZO SETTORE", SOTTOCOMPONENTE 1 "SERVIZI SOCIALI, DISABILITÀ E MARGINALITÀ SOCIALE", INVESTIMENTO 1.3 "HOUSING FIRST E STAZIONI DI POSTA", SUB-INVESTIMENTO 1.3.1 "HOUSING FIRST" - CUP I64H22000140006</w:t>
      </w:r>
      <w:r w:rsidR="006A3CAF">
        <w:rPr>
          <w:rFonts w:ascii="Arial" w:hAnsi="Arial" w:cs="Arial"/>
          <w:b/>
          <w:bCs/>
        </w:rPr>
        <w:t xml:space="preserve"> – CIG: 98514032EF</w:t>
      </w:r>
    </w:p>
    <w:p w14:paraId="24A20D28" w14:textId="77777777" w:rsidR="00A91E49" w:rsidRDefault="00A91E49" w:rsidP="00A91E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PROCEDURA NEGOZIATA EX ART. 1, COMMA 2, LETT. B, DELLA LEGGE 120/2020 DI CONVERSIONE DEL DL 76/2020 E SS.MM.II., SVOLTA IN MODALITA’ TELEMATICA SULLA PIATTAFORMA SINTEL DI ARIA S.P.A. REGIONE </w:t>
      </w:r>
      <w:bookmarkEnd w:id="0"/>
      <w:r>
        <w:rPr>
          <w:rFonts w:ascii="Arial" w:hAnsi="Arial" w:cs="Arial"/>
          <w:b/>
          <w:bCs/>
        </w:rPr>
        <w:t xml:space="preserve">LOMBARDIA </w:t>
      </w:r>
    </w:p>
    <w:p w14:paraId="1E907439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6C772E5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4C8F79E8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37449465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5CFDBBBC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0D17FB5C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6C12A6A6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2290314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10BF5E1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188A58E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0E814BA5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3FB57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542226E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3D3AF8A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1A621A3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4094EAB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2BFCC7B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1B87A16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3D4712E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6AAC194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6751B27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4437A57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25D3AF3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44F54A1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Via …………………………………………………………………………………………………………………………………………………..</w:t>
      </w:r>
    </w:p>
    <w:p w14:paraId="112812E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 ..………………………………………………………………………………………………………………………………..</w:t>
      </w:r>
    </w:p>
    <w:p w14:paraId="496AB4E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1DAB2BE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4AC128C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………………………………….. (…...)</w:t>
      </w:r>
    </w:p>
    <w:p w14:paraId="6F45E93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68104F5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54C0F30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0939453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7522173D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37E2767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05E6D3D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0359FCE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2E48184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1ED897B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7641103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3918B5F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0408F15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661F43B6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875844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2F610FA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39A274C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2866BA7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080CBF6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6C17872A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A951A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3AEC6E4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2310F46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5C7C78D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E33D79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15E3C59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5E2092C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un'influenza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22AC342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4359EE7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6C1F63A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0B3F4F5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16D2B942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6125B6"/>
    <w:rsid w:val="006A3CAF"/>
    <w:rsid w:val="008C2491"/>
    <w:rsid w:val="00A2528F"/>
    <w:rsid w:val="00A91E49"/>
    <w:rsid w:val="00A920FA"/>
    <w:rsid w:val="00AC0274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916D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Ruberti Elena</cp:lastModifiedBy>
  <cp:revision>10</cp:revision>
  <dcterms:created xsi:type="dcterms:W3CDTF">2022-10-10T13:56:00Z</dcterms:created>
  <dcterms:modified xsi:type="dcterms:W3CDTF">2023-05-29T09:30:00Z</dcterms:modified>
</cp:coreProperties>
</file>